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DA700">
      <w:pPr>
        <w:rPr>
          <w:color w:val="auto"/>
          <w:highlight w:val="none"/>
        </w:rPr>
      </w:pPr>
      <w:bookmarkStart w:id="1" w:name="_GoBack"/>
    </w:p>
    <w:p w14:paraId="1CB67108">
      <w:pPr>
        <w:spacing w:line="540" w:lineRule="exact"/>
        <w:jc w:val="center"/>
        <w:rPr>
          <w:rFonts w:hint="default" w:ascii="Times New Roman" w:hAnsi="Times New Roman" w:eastAsia="华文中宋" w:cs="Times New Roman"/>
          <w:b/>
          <w:color w:val="auto"/>
          <w:kern w:val="0"/>
          <w:sz w:val="52"/>
          <w:szCs w:val="52"/>
          <w:highlight w:val="none"/>
        </w:rPr>
      </w:pPr>
    </w:p>
    <w:p w14:paraId="35BCC629">
      <w:pPr>
        <w:spacing w:line="540" w:lineRule="exact"/>
        <w:rPr>
          <w:rFonts w:hint="default" w:ascii="Times New Roman" w:hAnsi="Times New Roman" w:eastAsia="华文中宋" w:cs="Times New Roman"/>
          <w:b/>
          <w:color w:val="auto"/>
          <w:kern w:val="0"/>
          <w:sz w:val="52"/>
          <w:szCs w:val="52"/>
          <w:highlight w:val="none"/>
        </w:rPr>
      </w:pPr>
    </w:p>
    <w:p w14:paraId="2EE96CE9">
      <w:pPr>
        <w:spacing w:line="540" w:lineRule="exact"/>
        <w:jc w:val="center"/>
        <w:rPr>
          <w:rFonts w:hint="default" w:ascii="Times New Roman" w:hAnsi="Times New Roman" w:eastAsia="华文中宋" w:cs="Times New Roman"/>
          <w:b/>
          <w:color w:val="auto"/>
          <w:kern w:val="0"/>
          <w:sz w:val="52"/>
          <w:szCs w:val="52"/>
          <w:highlight w:val="none"/>
        </w:rPr>
      </w:pPr>
    </w:p>
    <w:p w14:paraId="03A67E21">
      <w:pPr>
        <w:spacing w:line="540" w:lineRule="exact"/>
        <w:jc w:val="center"/>
        <w:rPr>
          <w:rFonts w:hint="default" w:ascii="Times New Roman" w:hAnsi="Times New Roman" w:eastAsia="华文中宋" w:cs="Times New Roman"/>
          <w:b/>
          <w:color w:val="auto"/>
          <w:kern w:val="0"/>
          <w:sz w:val="52"/>
          <w:szCs w:val="52"/>
          <w:highlight w:val="none"/>
        </w:rPr>
      </w:pPr>
    </w:p>
    <w:p w14:paraId="16C68CE7">
      <w:pP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eastAsia="方正小标宋_GBK" w:cs="Times New Roman"/>
          <w:color w:val="auto"/>
          <w:kern w:val="0"/>
          <w:sz w:val="48"/>
          <w:szCs w:val="48"/>
          <w:highlight w:val="none"/>
          <w:lang w:val="en-US" w:eastAsia="zh-CN"/>
        </w:rPr>
        <w:t>小升规</w:t>
      </w:r>
      <w:r>
        <w:rPr>
          <w:rFonts w:hint="default" w:ascii="Times New Roman" w:hAnsi="Times New Roman" w:eastAsia="方正小标宋_GBK" w:cs="Times New Roman"/>
          <w:color w:val="auto"/>
          <w:kern w:val="0"/>
          <w:sz w:val="48"/>
          <w:szCs w:val="48"/>
          <w:highlight w:val="none"/>
        </w:rPr>
        <w:t>项目支出绩效评价</w:t>
      </w:r>
    </w:p>
    <w:p w14:paraId="73284873">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报告</w:t>
      </w:r>
    </w:p>
    <w:p w14:paraId="0D55CEEB">
      <w:pPr>
        <w:spacing w:line="540" w:lineRule="exact"/>
        <w:jc w:val="center"/>
        <w:rPr>
          <w:rFonts w:hint="default" w:ascii="Times New Roman" w:hAnsi="Times New Roman" w:eastAsia="华文中宋" w:cs="Times New Roman"/>
          <w:b/>
          <w:color w:val="auto"/>
          <w:kern w:val="0"/>
          <w:sz w:val="52"/>
          <w:szCs w:val="52"/>
          <w:highlight w:val="none"/>
        </w:rPr>
      </w:pPr>
    </w:p>
    <w:p w14:paraId="65A22A14">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096C7C40">
      <w:pPr>
        <w:spacing w:line="540" w:lineRule="exact"/>
        <w:jc w:val="center"/>
        <w:rPr>
          <w:rFonts w:hint="default" w:ascii="Times New Roman" w:hAnsi="Times New Roman" w:eastAsia="仿宋_GB2312" w:cs="Times New Roman"/>
          <w:color w:val="auto"/>
          <w:kern w:val="0"/>
          <w:sz w:val="30"/>
          <w:szCs w:val="30"/>
          <w:highlight w:val="none"/>
        </w:rPr>
      </w:pPr>
    </w:p>
    <w:p w14:paraId="3E05DA41">
      <w:pPr>
        <w:spacing w:line="540" w:lineRule="exact"/>
        <w:jc w:val="center"/>
        <w:rPr>
          <w:rFonts w:hint="default" w:ascii="Times New Roman" w:hAnsi="Times New Roman" w:eastAsia="仿宋_GB2312" w:cs="Times New Roman"/>
          <w:color w:val="auto"/>
          <w:kern w:val="0"/>
          <w:sz w:val="30"/>
          <w:szCs w:val="30"/>
          <w:highlight w:val="none"/>
        </w:rPr>
      </w:pPr>
    </w:p>
    <w:p w14:paraId="1B9464FD">
      <w:pPr>
        <w:spacing w:line="540" w:lineRule="exact"/>
        <w:jc w:val="center"/>
        <w:rPr>
          <w:rFonts w:hint="default" w:ascii="Times New Roman" w:hAnsi="Times New Roman" w:eastAsia="仿宋_GB2312" w:cs="Times New Roman"/>
          <w:color w:val="auto"/>
          <w:kern w:val="0"/>
          <w:sz w:val="30"/>
          <w:szCs w:val="30"/>
          <w:highlight w:val="none"/>
        </w:rPr>
      </w:pPr>
    </w:p>
    <w:p w14:paraId="6F43EEC3">
      <w:pPr>
        <w:pStyle w:val="9"/>
        <w:rPr>
          <w:rFonts w:hint="default" w:ascii="Times New Roman" w:hAnsi="Times New Roman" w:cs="Times New Roman"/>
          <w:color w:val="auto"/>
          <w:highlight w:val="none"/>
        </w:rPr>
      </w:pPr>
    </w:p>
    <w:p w14:paraId="0CD7B1B8">
      <w:pPr>
        <w:spacing w:line="540" w:lineRule="exact"/>
        <w:jc w:val="center"/>
        <w:rPr>
          <w:rFonts w:hint="default" w:ascii="Times New Roman" w:hAnsi="Times New Roman" w:eastAsia="仿宋_GB2312" w:cs="Times New Roman"/>
          <w:color w:val="auto"/>
          <w:kern w:val="0"/>
          <w:sz w:val="30"/>
          <w:szCs w:val="30"/>
          <w:highlight w:val="none"/>
        </w:rPr>
      </w:pPr>
    </w:p>
    <w:p w14:paraId="7DFBE045">
      <w:pPr>
        <w:spacing w:line="540" w:lineRule="exact"/>
        <w:rPr>
          <w:rFonts w:hint="default" w:ascii="Times New Roman" w:hAnsi="Times New Roman" w:eastAsia="仿宋_GB2312" w:cs="Times New Roman"/>
          <w:color w:val="auto"/>
          <w:kern w:val="0"/>
          <w:sz w:val="30"/>
          <w:szCs w:val="30"/>
          <w:highlight w:val="none"/>
        </w:rPr>
      </w:pPr>
    </w:p>
    <w:p w14:paraId="2052605F">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项目名称：小升规企业奖励资金项目</w:t>
      </w:r>
    </w:p>
    <w:p w14:paraId="161D9B62">
      <w:pPr>
        <w:spacing w:line="700" w:lineRule="exact"/>
        <w:ind w:firstLine="1440" w:firstLineChars="400"/>
        <w:jc w:val="left"/>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val="en-US" w:eastAsia="zh-CN"/>
        </w:rPr>
        <w:t>托里县商工信局</w:t>
      </w:r>
    </w:p>
    <w:p w14:paraId="24911353">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托里县商工信局</w:t>
      </w:r>
    </w:p>
    <w:p w14:paraId="187405D9">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母小琴</w:t>
      </w:r>
    </w:p>
    <w:p w14:paraId="04C62D18">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3</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18</w:t>
      </w:r>
      <w:r>
        <w:rPr>
          <w:rFonts w:hint="default" w:ascii="Times New Roman" w:hAnsi="Times New Roman" w:eastAsia="仿宋_GB2312" w:cs="Times New Roman"/>
          <w:color w:val="auto"/>
          <w:kern w:val="0"/>
          <w:sz w:val="36"/>
          <w:szCs w:val="36"/>
          <w:highlight w:val="none"/>
        </w:rPr>
        <w:t>日</w:t>
      </w:r>
    </w:p>
    <w:p w14:paraId="4C65986C">
      <w:pPr>
        <w:spacing w:line="540" w:lineRule="exact"/>
        <w:jc w:val="center"/>
        <w:rPr>
          <w:rFonts w:hint="default" w:ascii="Times New Roman" w:hAnsi="Times New Roman" w:eastAsia="仿宋_GB2312" w:cs="Times New Roman"/>
          <w:color w:val="auto"/>
          <w:kern w:val="0"/>
          <w:sz w:val="30"/>
          <w:szCs w:val="30"/>
          <w:highlight w:val="none"/>
        </w:rPr>
      </w:pPr>
    </w:p>
    <w:p w14:paraId="01FE055A">
      <w:pPr>
        <w:spacing w:line="540" w:lineRule="exact"/>
        <w:rPr>
          <w:rStyle w:val="15"/>
          <w:rFonts w:hint="default" w:ascii="Times New Roman" w:hAnsi="Times New Roman" w:eastAsia="黑体" w:cs="Times New Roman"/>
          <w:b w:val="0"/>
          <w:color w:val="auto"/>
          <w:spacing w:val="-4"/>
          <w:sz w:val="32"/>
          <w:szCs w:val="32"/>
          <w:highlight w:val="none"/>
        </w:rPr>
      </w:pPr>
    </w:p>
    <w:p w14:paraId="5BD29314">
      <w:pPr>
        <w:spacing w:line="540" w:lineRule="exact"/>
        <w:ind w:firstLine="640"/>
        <w:rPr>
          <w:rStyle w:val="15"/>
          <w:rFonts w:hint="default" w:ascii="Times New Roman" w:hAnsi="Times New Roman" w:eastAsia="黑体" w:cs="Times New Roman"/>
          <w:b w:val="0"/>
          <w:color w:val="auto"/>
          <w:spacing w:val="-4"/>
          <w:sz w:val="32"/>
          <w:szCs w:val="32"/>
          <w:highlight w:val="none"/>
        </w:rPr>
      </w:pPr>
    </w:p>
    <w:p w14:paraId="3E7F4418">
      <w:pPr>
        <w:spacing w:line="540" w:lineRule="exact"/>
        <w:rPr>
          <w:rStyle w:val="15"/>
          <w:rFonts w:hint="default" w:ascii="Times New Roman" w:hAnsi="Times New Roman" w:eastAsia="黑体" w:cs="Times New Roman"/>
          <w:b w:val="0"/>
          <w:color w:val="auto"/>
          <w:spacing w:val="-4"/>
          <w:sz w:val="32"/>
          <w:szCs w:val="32"/>
          <w:highlight w:val="none"/>
        </w:rPr>
      </w:pPr>
    </w:p>
    <w:p w14:paraId="33DD37CD">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52DA07F8">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3A4C21E4">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2F407AB9">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6973B59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年，托里县商务和工业信息化局根据地区工信局《关于印发塔城地区“小升规”企业奖励办法的通知》（塔地工信字〔2022〕7号）以及《关于强化“小升规”企业培育的意见》的通知（塔行办发〔2022〕1号）要求，积极开展了“小升规”企业奖励资金项目，进一步促进地区规模以下工业企业转型升级为规模以上工业企业,壮大地区工业经济总量，提升发展的质量和效益，确保地区工业经济健康平稳发展。按照“发展一批、提升一批、引进一批”的工作思路，以年主营业务收入2000万元以下的小微工业企业为重点，加强帮扶和培育力度，推动小微企业升级为规模以上企业，为地区工业经济发展培育新的增长动力。对首次上规入统的企业每家奖励30万元(地区奖励15万元、县市奖励15万元);对复规入统的企业每家奖励10万元(地区奖励5万元、县市奖励5万元)。</w:t>
      </w:r>
    </w:p>
    <w:p w14:paraId="6A6EBAF3">
      <w:pPr>
        <w:pStyle w:val="9"/>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4BD5C005">
      <w:pPr>
        <w:pStyle w:val="20"/>
        <w:spacing w:line="600" w:lineRule="exact"/>
        <w:ind w:firstLine="64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本项目主要</w:t>
      </w:r>
      <w:r>
        <w:rPr>
          <w:rFonts w:hint="eastAsia" w:ascii="Times New Roman" w:hAnsi="Times New Roman" w:eastAsia="仿宋_GB2312" w:cs="Times New Roman"/>
          <w:color w:val="auto"/>
          <w:kern w:val="2"/>
          <w:sz w:val="32"/>
          <w:szCs w:val="32"/>
          <w:highlight w:val="none"/>
          <w:lang w:val="en-US" w:bidi="ar-SA"/>
        </w:rPr>
        <w:t>内容为</w:t>
      </w:r>
      <w:r>
        <w:rPr>
          <w:rFonts w:hint="eastAsia" w:ascii="Times New Roman" w:hAnsi="Times New Roman" w:eastAsia="仿宋_GB2312" w:cs="Times New Roman"/>
          <w:color w:val="auto"/>
          <w:kern w:val="2"/>
          <w:sz w:val="32"/>
          <w:szCs w:val="32"/>
          <w:highlight w:val="none"/>
          <w:lang w:val="en-US" w:eastAsia="zh-CN" w:bidi="ar-SA"/>
        </w:rPr>
        <w:t>：培育“小升规”企业7家（2023年5家、2024年2家）； 2、实施完成奖励企业7家（2023年5家、2024年2家）；3、通过项目实施，促进地区规模以下工业企业转型升级为规模以上工业企业。</w:t>
      </w:r>
    </w:p>
    <w:p w14:paraId="59E4E8C4">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w:t>
      </w:r>
      <w:r>
        <w:rPr>
          <w:rFonts w:hint="eastAsia" w:eastAsia="仿宋_GB2312" w:cs="Times New Roman"/>
          <w:color w:val="auto"/>
          <w:sz w:val="32"/>
          <w:szCs w:val="32"/>
          <w:highlight w:val="none"/>
          <w:lang w:val="en-US" w:eastAsia="zh-CN"/>
        </w:rPr>
        <w:t>已培育</w:t>
      </w:r>
      <w:r>
        <w:rPr>
          <w:rFonts w:hint="eastAsia" w:ascii="Times New Roman" w:hAnsi="Times New Roman" w:eastAsia="仿宋_GB2312" w:cs="Times New Roman"/>
          <w:color w:val="auto"/>
          <w:kern w:val="2"/>
          <w:sz w:val="32"/>
          <w:szCs w:val="32"/>
          <w:highlight w:val="none"/>
          <w:lang w:val="en-US" w:eastAsia="zh-CN" w:bidi="ar-SA"/>
        </w:rPr>
        <w:t>绿洲源农业科技有限公司、福鑫畜牧科技发展有限公司、佳盛商品混凝土有限公司、凯峰新型建材有限公司、绿之风农业发展有限公司、山东公用同太托里水务有限公司、托里天润新能风电有限公司7家企业升规纳统。</w:t>
      </w:r>
    </w:p>
    <w:p w14:paraId="227B8524">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1580F0E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50B5CAE5">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135</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01DC8A28">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42C3746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135</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135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拨付</w:t>
      </w:r>
      <w:r>
        <w:rPr>
          <w:rFonts w:hint="eastAsia" w:ascii="Times New Roman" w:hAnsi="Times New Roman" w:eastAsia="仿宋_GB2312" w:cs="Times New Roman"/>
          <w:color w:val="auto"/>
          <w:kern w:val="2"/>
          <w:sz w:val="32"/>
          <w:szCs w:val="32"/>
          <w:highlight w:val="none"/>
          <w:lang w:val="en-US" w:eastAsia="zh-CN" w:bidi="ar-SA"/>
        </w:rPr>
        <w:t>绿洲源农业科技有限公司15万元、福鑫畜牧科技发展有限公司15万元、佳盛商品混凝土有限公司15万元、凯峰新型建材有限公司15万元、绿之风农业发展有限公司15万元、托里县鑫宇商砼有限公司30万元（地区级15万元、县级15万元）、中广核新能源托里有限公司30万元（地区级15万元、县级15万元）</w:t>
      </w:r>
      <w:r>
        <w:rPr>
          <w:rFonts w:hint="default" w:ascii="Times New Roman" w:hAnsi="Times New Roman" w:eastAsia="仿宋_GB2312" w:cs="Times New Roman"/>
          <w:color w:val="auto"/>
          <w:sz w:val="32"/>
          <w:szCs w:val="32"/>
          <w:highlight w:val="none"/>
          <w:lang w:val="en-US" w:eastAsia="zh-CN"/>
        </w:rPr>
        <w:t>。</w:t>
      </w:r>
    </w:p>
    <w:p w14:paraId="3578F861">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1DBCE31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59E0DFA6">
      <w:pPr>
        <w:shd w:val="clear" w:color="auto" w:fill="auto"/>
        <w:spacing w:line="600" w:lineRule="exact"/>
        <w:ind w:firstLine="640" w:firstLineChars="200"/>
        <w:outlineLvl w:val="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加强小升规企业培育力度，促进小微企业升级入规，提升地区工业经济发展质量和效益，发展培育新的增长动力。</w:t>
      </w:r>
    </w:p>
    <w:p w14:paraId="5FE5F0D5">
      <w:pPr>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阶段性目标</w:t>
      </w:r>
    </w:p>
    <w:p w14:paraId="6EF07E2A">
      <w:pPr>
        <w:shd w:val="clear" w:color="auto" w:fill="auto"/>
        <w:spacing w:line="600" w:lineRule="exact"/>
        <w:ind w:firstLine="640" w:firstLineChars="200"/>
        <w:outlineLvl w:val="0"/>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2023年小升规奖励资金75万元，</w:t>
      </w:r>
      <w:r>
        <w:rPr>
          <w:rFonts w:hint="eastAsia" w:eastAsia="仿宋_GB2312" w:cs="Times New Roman"/>
          <w:color w:val="auto"/>
          <w:sz w:val="32"/>
          <w:szCs w:val="32"/>
          <w:highlight w:val="none"/>
          <w:lang w:val="en-US" w:eastAsia="zh-CN"/>
        </w:rPr>
        <w:t>计划奖励</w:t>
      </w:r>
      <w:r>
        <w:rPr>
          <w:rFonts w:hint="eastAsia" w:ascii="Times New Roman" w:hAnsi="Times New Roman" w:eastAsia="仿宋_GB2312" w:cs="Times New Roman"/>
          <w:color w:val="auto"/>
          <w:kern w:val="2"/>
          <w:sz w:val="32"/>
          <w:szCs w:val="32"/>
          <w:highlight w:val="none"/>
          <w:lang w:val="en-US" w:eastAsia="zh-CN" w:bidi="ar-SA"/>
        </w:rPr>
        <w:t>绿洲源农业科技有限公司15万元、福鑫畜牧科技发展有限公司15万元、佳盛商品混凝土有限公司15万元、凯峰新型建材有限公司15万元、绿之风农业发展有限公司15万元。</w:t>
      </w:r>
      <w:r>
        <w:rPr>
          <w:rFonts w:hint="default" w:ascii="Times New Roman" w:hAnsi="Times New Roman" w:eastAsia="仿宋_GB2312" w:cs="Times New Roman"/>
          <w:color w:val="auto"/>
          <w:kern w:val="2"/>
          <w:sz w:val="32"/>
          <w:szCs w:val="32"/>
          <w:highlight w:val="none"/>
          <w:lang w:val="en-US" w:eastAsia="zh-CN" w:bidi="ar-SA"/>
        </w:rPr>
        <w:t>2024年</w:t>
      </w:r>
      <w:r>
        <w:rPr>
          <w:rFonts w:hint="eastAsia" w:ascii="Times New Roman" w:hAnsi="Times New Roman" w:eastAsia="仿宋_GB2312" w:cs="Times New Roman"/>
          <w:color w:val="auto"/>
          <w:kern w:val="2"/>
          <w:sz w:val="32"/>
          <w:szCs w:val="32"/>
          <w:highlight w:val="none"/>
          <w:lang w:val="en-US" w:eastAsia="zh-CN" w:bidi="ar-SA"/>
        </w:rPr>
        <w:t>小</w:t>
      </w:r>
      <w:r>
        <w:rPr>
          <w:rFonts w:hint="default" w:ascii="Times New Roman" w:hAnsi="Times New Roman" w:eastAsia="仿宋_GB2312" w:cs="Times New Roman"/>
          <w:color w:val="auto"/>
          <w:kern w:val="2"/>
          <w:sz w:val="32"/>
          <w:szCs w:val="32"/>
          <w:highlight w:val="none"/>
          <w:lang w:val="en-US" w:eastAsia="zh-CN" w:bidi="ar-SA"/>
        </w:rPr>
        <w:t>升规企业奖励资金</w:t>
      </w:r>
      <w:r>
        <w:rPr>
          <w:rFonts w:hint="eastAsia" w:ascii="Times New Roman" w:hAnsi="Times New Roman" w:eastAsia="仿宋_GB2312" w:cs="Times New Roman"/>
          <w:color w:val="auto"/>
          <w:kern w:val="2"/>
          <w:sz w:val="32"/>
          <w:szCs w:val="32"/>
          <w:highlight w:val="none"/>
          <w:lang w:val="en-US" w:eastAsia="zh-CN" w:bidi="ar-SA"/>
        </w:rPr>
        <w:t>60</w:t>
      </w:r>
      <w:r>
        <w:rPr>
          <w:rFonts w:hint="default" w:ascii="Times New Roman" w:hAnsi="Times New Roman" w:eastAsia="仿宋_GB2312" w:cs="Times New Roman"/>
          <w:color w:val="auto"/>
          <w:kern w:val="2"/>
          <w:sz w:val="32"/>
          <w:szCs w:val="32"/>
          <w:highlight w:val="none"/>
          <w:lang w:val="en-US" w:eastAsia="zh-CN" w:bidi="ar-SA"/>
        </w:rPr>
        <w:t>万元，计划奖励托里县鑫宇商砼有限公司奖励资金</w:t>
      </w:r>
      <w:r>
        <w:rPr>
          <w:rFonts w:hint="eastAsia" w:ascii="Times New Roman" w:hAnsi="Times New Roman" w:eastAsia="仿宋_GB2312" w:cs="Times New Roman"/>
          <w:color w:val="auto"/>
          <w:kern w:val="2"/>
          <w:sz w:val="32"/>
          <w:szCs w:val="32"/>
          <w:highlight w:val="none"/>
          <w:lang w:val="en-US" w:eastAsia="zh-CN" w:bidi="ar-SA"/>
        </w:rPr>
        <w:t>30</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（地区级15万元、县级15万元）</w:t>
      </w:r>
      <w:r>
        <w:rPr>
          <w:rFonts w:hint="default" w:ascii="Times New Roman" w:hAnsi="Times New Roman" w:eastAsia="仿宋_GB2312" w:cs="Times New Roman"/>
          <w:color w:val="auto"/>
          <w:kern w:val="2"/>
          <w:sz w:val="32"/>
          <w:szCs w:val="32"/>
          <w:highlight w:val="none"/>
          <w:lang w:val="en-US" w:eastAsia="zh-CN" w:bidi="ar-SA"/>
        </w:rPr>
        <w:t>、中广核新能源托里有限公司奖励资金</w:t>
      </w:r>
      <w:r>
        <w:rPr>
          <w:rFonts w:hint="eastAsia" w:ascii="Times New Roman" w:hAnsi="Times New Roman" w:eastAsia="仿宋_GB2312" w:cs="Times New Roman"/>
          <w:color w:val="auto"/>
          <w:kern w:val="2"/>
          <w:sz w:val="32"/>
          <w:szCs w:val="32"/>
          <w:highlight w:val="none"/>
          <w:lang w:val="en-US" w:eastAsia="zh-CN" w:bidi="ar-SA"/>
        </w:rPr>
        <w:t>30</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（地区级15万元、县级15万元）</w:t>
      </w:r>
      <w:r>
        <w:rPr>
          <w:rFonts w:hint="default" w:ascii="Times New Roman" w:hAnsi="Times New Roman" w:eastAsia="仿宋_GB2312" w:cs="Times New Roman"/>
          <w:color w:val="auto"/>
          <w:kern w:val="2"/>
          <w:sz w:val="32"/>
          <w:szCs w:val="32"/>
          <w:highlight w:val="none"/>
          <w:lang w:val="en-US" w:eastAsia="zh-CN" w:bidi="ar-SA"/>
        </w:rPr>
        <w:t>。</w:t>
      </w:r>
    </w:p>
    <w:p w14:paraId="2A52A356">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4A35EFFD">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0AF2DE6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1065B779">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DDC02B1">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3E6E90B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AD07AAF">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9A651BB">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877D60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4CFB6A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09FF2D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55F193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37D773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A880D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6044F2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0879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89E15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67900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97E5B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08067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1DA4D6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65E9F29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kern w:val="2"/>
          <w:sz w:val="32"/>
          <w:szCs w:val="32"/>
          <w:highlight w:val="none"/>
          <w:lang w:val="en-US" w:eastAsia="zh-CN" w:bidi="ar-SA"/>
        </w:rPr>
        <w:t>本项目预算绩效评价报告的评价对象是小升规企业奖励资金项目及其预算执行情况。该项目由</w:t>
      </w:r>
      <w:r>
        <w:rPr>
          <w:rFonts w:hint="eastAsia" w:ascii="Times New Roman" w:hAnsi="Times New Roman" w:eastAsia="仿宋_GB2312" w:cs="Times New Roman"/>
          <w:b w:val="0"/>
          <w:bCs w:val="0"/>
          <w:color w:val="auto"/>
          <w:kern w:val="2"/>
          <w:sz w:val="32"/>
          <w:szCs w:val="32"/>
          <w:highlight w:val="none"/>
          <w:lang w:val="en-US" w:eastAsia="zh-CN" w:bidi="ar-SA"/>
        </w:rPr>
        <w:t>托里县商工信局</w:t>
      </w:r>
      <w:r>
        <w:rPr>
          <w:rFonts w:hint="default" w:ascii="Times New Roman" w:hAnsi="Times New Roman" w:eastAsia="仿宋_GB2312" w:cs="Times New Roman"/>
          <w:b w:val="0"/>
          <w:bCs w:val="0"/>
          <w:color w:val="auto"/>
          <w:kern w:val="2"/>
          <w:sz w:val="32"/>
          <w:szCs w:val="32"/>
          <w:highlight w:val="none"/>
          <w:lang w:val="en-US" w:eastAsia="zh-CN" w:bidi="ar-SA"/>
        </w:rPr>
        <w:t>负责实施，旨在</w:t>
      </w:r>
      <w:r>
        <w:rPr>
          <w:rFonts w:hint="eastAsia" w:ascii="Times New Roman" w:hAnsi="Times New Roman" w:eastAsia="仿宋_GB2312" w:cs="Times New Roman"/>
          <w:b w:val="0"/>
          <w:bCs w:val="0"/>
          <w:color w:val="auto"/>
          <w:kern w:val="2"/>
          <w:sz w:val="32"/>
          <w:szCs w:val="32"/>
          <w:highlight w:val="none"/>
          <w:lang w:val="en-US" w:eastAsia="zh-CN" w:bidi="ar-SA"/>
        </w:rPr>
        <w:t>培育小升规企业，壮大规模以上工业企业总量</w:t>
      </w:r>
      <w:r>
        <w:rPr>
          <w:rFonts w:hint="default" w:ascii="Times New Roman" w:hAnsi="Times New Roman" w:eastAsia="仿宋_GB2312" w:cs="Times New Roman"/>
          <w:b w:val="0"/>
          <w:bCs w:val="0"/>
          <w:color w:val="auto"/>
          <w:kern w:val="2"/>
          <w:sz w:val="32"/>
          <w:szCs w:val="32"/>
          <w:highlight w:val="none"/>
          <w:lang w:val="en-US" w:eastAsia="zh-CN" w:bidi="ar-SA"/>
        </w:rPr>
        <w:t>。项目预算涵盖从</w:t>
      </w:r>
      <w:r>
        <w:rPr>
          <w:rFonts w:hint="eastAsia" w:ascii="Times New Roman" w:hAnsi="Times New Roman" w:eastAsia="仿宋_GB2312" w:cs="Times New Roman"/>
          <w:b w:val="0"/>
          <w:bCs w:val="0"/>
          <w:color w:val="auto"/>
          <w:kern w:val="2"/>
          <w:sz w:val="32"/>
          <w:szCs w:val="32"/>
          <w:highlight w:val="none"/>
          <w:lang w:val="en-US" w:eastAsia="zh-CN" w:bidi="ar-SA"/>
        </w:rPr>
        <w:t>2024年1月</w:t>
      </w:r>
      <w:r>
        <w:rPr>
          <w:rFonts w:hint="default" w:ascii="Times New Roman" w:hAnsi="Times New Roman" w:eastAsia="仿宋_GB2312" w:cs="Times New Roman"/>
          <w:b w:val="0"/>
          <w:bCs w:val="0"/>
          <w:color w:val="auto"/>
          <w:kern w:val="2"/>
          <w:sz w:val="32"/>
          <w:szCs w:val="32"/>
          <w:highlight w:val="none"/>
          <w:lang w:val="en-US" w:eastAsia="zh-CN" w:bidi="ar-SA"/>
        </w:rPr>
        <w:t>至</w:t>
      </w:r>
      <w:r>
        <w:rPr>
          <w:rFonts w:hint="eastAsia" w:ascii="Times New Roman" w:hAnsi="Times New Roman" w:eastAsia="仿宋_GB2312" w:cs="Times New Roman"/>
          <w:b w:val="0"/>
          <w:bCs w:val="0"/>
          <w:color w:val="auto"/>
          <w:kern w:val="2"/>
          <w:sz w:val="32"/>
          <w:szCs w:val="32"/>
          <w:highlight w:val="none"/>
          <w:lang w:val="en-US" w:eastAsia="zh-CN" w:bidi="ar-SA"/>
        </w:rPr>
        <w:t>2024年12月</w:t>
      </w:r>
      <w:r>
        <w:rPr>
          <w:rFonts w:hint="default" w:ascii="Times New Roman" w:hAnsi="Times New Roman" w:eastAsia="仿宋_GB2312" w:cs="Times New Roman"/>
          <w:b w:val="0"/>
          <w:bCs w:val="0"/>
          <w:color w:val="auto"/>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color w:val="auto"/>
          <w:kern w:val="2"/>
          <w:sz w:val="32"/>
          <w:szCs w:val="32"/>
          <w:highlight w:val="none"/>
          <w:lang w:val="en-US" w:eastAsia="zh-CN" w:bidi="ar-SA"/>
        </w:rPr>
        <w:t>135</w:t>
      </w:r>
      <w:r>
        <w:rPr>
          <w:rFonts w:hint="default" w:ascii="Times New Roman" w:hAnsi="Times New Roman" w:eastAsia="仿宋_GB2312" w:cs="Times New Roman"/>
          <w:b w:val="0"/>
          <w:bCs w:val="0"/>
          <w:color w:val="auto"/>
          <w:kern w:val="2"/>
          <w:sz w:val="32"/>
          <w:szCs w:val="32"/>
          <w:highlight w:val="none"/>
          <w:lang w:val="en-US" w:eastAsia="zh-CN" w:bidi="ar-SA"/>
        </w:rPr>
        <w:t>万元。</w:t>
      </w:r>
    </w:p>
    <w:p w14:paraId="5247792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296F69A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00C04D9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1652618A">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6891E54B">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60E96EA8">
      <w:pPr>
        <w:pStyle w:val="9"/>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4</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rPr>
        <w:t>、经济等方面的综合影响。</w:t>
      </w:r>
    </w:p>
    <w:p w14:paraId="20DA3DAF">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55D5022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56399C1D">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7CB0BFCD">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28530A8D">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749A92DC">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1ED868BA">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0276BC8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15955E85">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4756B0E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0F147A9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4A0D40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5E3E4652">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75FD10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57F31BD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6B244AB7">
      <w:pPr>
        <w:pStyle w:val="9"/>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6B3A2B42">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1181B8C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26CB6A4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09FA38B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806741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355163B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7635D06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14:paraId="4B7ABF9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（四）最低成本法。是指在绩效目标确定的前提下，成本最小者为优的方法。</w:t>
      </w:r>
    </w:p>
    <w:p w14:paraId="0464139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（五）公众评判法。是指通过专家评估、公众问卷及抽样调查等方式进行评判的方法。</w:t>
      </w:r>
    </w:p>
    <w:p w14:paraId="0BE1FD5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（六）标杆管理法。是指以国内外同行业中较高的绩效水平为标杆进行评判的方法。</w:t>
      </w:r>
    </w:p>
    <w:p w14:paraId="5537973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（七）其他评价方法。</w:t>
      </w:r>
    </w:p>
    <w:p w14:paraId="5C70F6F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6A35D13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14:paraId="767D6B7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14:paraId="050CD48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行业标准。指参照国家公布的行业指标数据制定的评价标准。</w:t>
      </w:r>
    </w:p>
    <w:p w14:paraId="3E055E4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历史标准。指参照历史数据制定的评价标准，为体现绩效改进的原则，在可实现的条件下应当确定相对较高的评价标准。</w:t>
      </w:r>
    </w:p>
    <w:p w14:paraId="22823A0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财政部门和预算部门确认或认可的其他标准。</w:t>
      </w:r>
    </w:p>
    <w:p w14:paraId="2A73305D">
      <w:pPr>
        <w:pStyle w:val="9"/>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242EF9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733AB3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57D7D8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65B3D2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5AC56B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7334B7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6AB05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638FB3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DB91B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2E9C95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32C50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55C6E7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922E8FD">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0D382368">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44F9C714">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本项目的综合评价基于对项目各方面绩效的深入分析与评估。从项目目标的达成情况来看，小升规企业奖励资金项目在</w:t>
      </w:r>
      <w:r>
        <w:rPr>
          <w:rFonts w:hint="eastAsia" w:ascii="Times New Roman" w:hAnsi="Times New Roman" w:eastAsia="仿宋_GB2312" w:cs="Times New Roman"/>
          <w:color w:val="auto"/>
          <w:kern w:val="2"/>
          <w:sz w:val="32"/>
          <w:szCs w:val="32"/>
          <w:highlight w:val="none"/>
          <w:lang w:val="en-US" w:eastAsia="zh-CN" w:bidi="ar-SA"/>
        </w:rPr>
        <w:t>计划培育企业数量、奖励资金到位率</w:t>
      </w:r>
      <w:r>
        <w:rPr>
          <w:rFonts w:hint="default" w:ascii="Times New Roman" w:hAnsi="Times New Roman" w:eastAsia="仿宋_GB2312" w:cs="Times New Roman"/>
          <w:color w:val="auto"/>
          <w:kern w:val="2"/>
          <w:sz w:val="32"/>
          <w:szCs w:val="32"/>
          <w:highlight w:val="none"/>
          <w:lang w:val="en-US" w:eastAsia="zh-CN" w:bidi="ar-SA"/>
        </w:rPr>
        <w:t>等方面表现出色，达到了预期的标准与要求。同时，项目也在</w:t>
      </w:r>
      <w:r>
        <w:rPr>
          <w:rFonts w:hint="eastAsia" w:ascii="Times New Roman" w:hAnsi="Times New Roman" w:eastAsia="仿宋_GB2312" w:cs="Times New Roman"/>
          <w:color w:val="auto"/>
          <w:kern w:val="2"/>
          <w:sz w:val="32"/>
          <w:szCs w:val="32"/>
          <w:highlight w:val="none"/>
          <w:lang w:val="en-US" w:eastAsia="zh-CN" w:bidi="ar-SA"/>
        </w:rPr>
        <w:t>拉动规上工业增长方面</w:t>
      </w:r>
      <w:r>
        <w:rPr>
          <w:rFonts w:hint="default" w:ascii="Times New Roman" w:hAnsi="Times New Roman" w:eastAsia="仿宋_GB2312" w:cs="Times New Roman"/>
          <w:color w:val="auto"/>
          <w:kern w:val="2"/>
          <w:sz w:val="32"/>
          <w:szCs w:val="32"/>
          <w:highlight w:val="none"/>
          <w:lang w:val="en-US" w:eastAsia="zh-CN" w:bidi="ar-SA"/>
        </w:rPr>
        <w:t>取得了显著的成效，如</w:t>
      </w:r>
      <w:r>
        <w:rPr>
          <w:rFonts w:hint="eastAsia" w:ascii="Times New Roman" w:hAnsi="Times New Roman" w:eastAsia="仿宋_GB2312" w:cs="Times New Roman"/>
          <w:color w:val="auto"/>
          <w:kern w:val="2"/>
          <w:sz w:val="32"/>
          <w:szCs w:val="32"/>
          <w:highlight w:val="none"/>
          <w:lang w:val="en-US" w:eastAsia="zh-CN" w:bidi="ar-SA"/>
        </w:rPr>
        <w:t>2024年</w:t>
      </w:r>
      <w:r>
        <w:rPr>
          <w:rFonts w:hint="default" w:ascii="Times New Roman" w:hAnsi="Times New Roman" w:eastAsia="仿宋_GB2312" w:cs="Times New Roman"/>
          <w:color w:val="auto"/>
          <w:kern w:val="2"/>
          <w:sz w:val="32"/>
          <w:szCs w:val="32"/>
          <w:highlight w:val="none"/>
          <w:lang w:val="en-US" w:eastAsia="zh-CN" w:bidi="ar-SA"/>
        </w:rPr>
        <w:t>中广核新能源托里有限公司</w:t>
      </w:r>
      <w:r>
        <w:rPr>
          <w:rFonts w:hint="eastAsia" w:ascii="Times New Roman" w:hAnsi="Times New Roman" w:eastAsia="仿宋_GB2312" w:cs="Times New Roman"/>
          <w:color w:val="auto"/>
          <w:kern w:val="2"/>
          <w:sz w:val="32"/>
          <w:szCs w:val="32"/>
          <w:highlight w:val="none"/>
          <w:lang w:val="en-US" w:eastAsia="zh-CN" w:bidi="ar-SA"/>
        </w:rPr>
        <w:t>拉动规模以上工业增加值整体增长16.6%</w:t>
      </w:r>
      <w:r>
        <w:rPr>
          <w:rFonts w:hint="default" w:ascii="Times New Roman" w:hAnsi="Times New Roman" w:eastAsia="仿宋_GB2312" w:cs="Times New Roman"/>
          <w:color w:val="auto"/>
          <w:kern w:val="2"/>
          <w:sz w:val="32"/>
          <w:szCs w:val="32"/>
          <w:highlight w:val="none"/>
          <w:lang w:val="en-US" w:eastAsia="zh-CN" w:bidi="ar-SA"/>
        </w:rPr>
        <w:t>等。</w:t>
      </w:r>
    </w:p>
    <w:p w14:paraId="7189481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在项目管理方面，</w:t>
      </w:r>
      <w:r>
        <w:rPr>
          <w:rFonts w:hint="eastAsia" w:ascii="Times New Roman" w:hAnsi="Times New Roman" w:eastAsia="仿宋_GB2312" w:cs="Times New Roman"/>
          <w:color w:val="auto"/>
          <w:kern w:val="2"/>
          <w:sz w:val="32"/>
          <w:szCs w:val="32"/>
          <w:highlight w:val="none"/>
          <w:lang w:val="en-US" w:eastAsia="zh-CN" w:bidi="ar-SA"/>
        </w:rPr>
        <w:t>托里县商工信局</w:t>
      </w:r>
      <w:r>
        <w:rPr>
          <w:rFonts w:hint="default" w:ascii="Times New Roman" w:hAnsi="Times New Roman" w:eastAsia="仿宋_GB2312" w:cs="Times New Roman"/>
          <w:color w:val="auto"/>
          <w:kern w:val="2"/>
          <w:sz w:val="32"/>
          <w:szCs w:val="32"/>
          <w:highlight w:val="none"/>
          <w:lang w:val="en-US" w:eastAsia="zh-CN" w:bidi="ar-SA"/>
        </w:rPr>
        <w:t>通过有效的规划、组织与协调，项目得以顺利实施，并在预算与时间上保持了良好的控制。</w:t>
      </w:r>
    </w:p>
    <w:p w14:paraId="532DD91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从项目效益的角度来看，本项目不仅实现了预期的社会效益、</w:t>
      </w:r>
      <w:r>
        <w:rPr>
          <w:rFonts w:hint="eastAsia" w:ascii="Times New Roman" w:hAnsi="Times New Roman" w:eastAsia="仿宋_GB2312" w:cs="Times New Roman"/>
          <w:color w:val="auto"/>
          <w:kern w:val="2"/>
          <w:sz w:val="32"/>
          <w:szCs w:val="32"/>
          <w:highlight w:val="none"/>
          <w:lang w:val="en-US" w:eastAsia="zh-CN" w:bidi="ar-SA"/>
        </w:rPr>
        <w:t>经济效益</w:t>
      </w:r>
      <w:r>
        <w:rPr>
          <w:rFonts w:hint="default" w:ascii="Times New Roman" w:hAnsi="Times New Roman" w:eastAsia="仿宋_GB2312" w:cs="Times New Roman"/>
          <w:color w:val="auto"/>
          <w:kern w:val="2"/>
          <w:sz w:val="32"/>
          <w:szCs w:val="32"/>
          <w:highlight w:val="none"/>
          <w:lang w:val="en-US" w:eastAsia="zh-CN" w:bidi="ar-SA"/>
        </w:rPr>
        <w:t>等方面产生了积极的影响。具体而言，</w:t>
      </w:r>
      <w:r>
        <w:rPr>
          <w:rFonts w:hint="eastAsia" w:eastAsia="仿宋_GB2312" w:cs="Times New Roman"/>
          <w:color w:val="auto"/>
          <w:sz w:val="32"/>
          <w:szCs w:val="32"/>
          <w:highlight w:val="none"/>
          <w:lang w:val="en-US" w:eastAsia="zh-CN"/>
        </w:rPr>
        <w:t>企业主营业务</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8A627AB">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综上所述，小升规企业奖励资金项目在绩效评价中表现出色，达到了项目的预期目标，并在多个方面取得了显著的成效。</w:t>
      </w:r>
    </w:p>
    <w:p w14:paraId="4B42B97A">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62A5675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90</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353D0B7E">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5D909713">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0B56157B">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2E84E7D1">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47B81DDE">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0E6C0029">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1CD2894F">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C7527BA">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70519328">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234DAB6">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D12AA99">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121B3E0F">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46635AF">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56537479">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C365C2D">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6850A2E">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4B61B083">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DCFB0C3">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2A376D1F">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11FAE2AE">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A44F893">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2E74555A">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B2965D9">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3BB4D742">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0BC12DF">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FA38B13">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4982307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CE23C25">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6EE387B9">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35FAF85E">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24BAB5A2">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14:paraId="32579CAA">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0162EAA5">
      <w:pPr>
        <w:pStyle w:val="9"/>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708CED6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4B7B7461">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6CF2D16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56962C3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5CFB71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3A727E4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6579401">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64CA2E0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301A5DA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164ADE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4262595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2312DA0C">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386B9A0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0BB09A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B2C159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62686F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03694F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0101A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A7CB9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F50B037">
      <w:pPr>
        <w:pStyle w:val="9"/>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3D5AF9C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3D08657">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0BB621C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7BD96C1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135</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6D95C79E">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1E19318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135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6451B2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5BF3DA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105A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2E14E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9E00BF8">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2C4D640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6A2D9F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B1099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66B4F6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354AB8E">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FC067DC">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3E3A0A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6A6F22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7AB4D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1201B381">
      <w:pPr>
        <w:pStyle w:val="10"/>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2BB3A5B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4651C4B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20AA7B0E">
      <w:pPr>
        <w:shd w:val="clear" w:color="auto"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计划培育企业数量</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1CDE4DE9">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首次升规企业数量</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61F97E9D">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r>
        <w:rPr>
          <w:rFonts w:hint="eastAsia" w:eastAsia="仿宋_GB2312" w:cs="Times New Roman"/>
          <w:color w:val="auto"/>
          <w:sz w:val="32"/>
          <w:szCs w:val="32"/>
          <w:highlight w:val="none"/>
          <w:lang w:val="en-US" w:eastAsia="zh-CN"/>
        </w:rPr>
        <w:t>奖励资金到位率，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598D7FD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18E56EBC">
      <w:pPr>
        <w:shd w:val="clear" w:color="auto"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奖励资金拨付及时率，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7AB6D94C">
      <w:pPr>
        <w:shd w:val="clear" w:color="auto"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项目完成时间，</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2024年12月20日</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2024年12月20日</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3585C4D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723A0D2A">
      <w:pPr>
        <w:shd w:val="clear" w:color="auto"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企业补助标准，</w:t>
      </w:r>
      <w:r>
        <w:rPr>
          <w:rFonts w:hint="default" w:ascii="Times New Roman" w:hAnsi="Times New Roman" w:eastAsia="仿宋_GB2312" w:cs="Times New Roman"/>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=30万元/家</w:t>
      </w:r>
      <w:r>
        <w:rPr>
          <w:rFonts w:hint="default" w:ascii="Times New Roman" w:hAnsi="Times New Roman" w:eastAsia="仿宋_GB2312" w:cs="Times New Roman"/>
          <w:color w:val="auto"/>
          <w:sz w:val="32"/>
          <w:szCs w:val="32"/>
          <w:highlight w:val="none"/>
        </w:rPr>
        <w:t>，实际完成值</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=30万元/家</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1C4589E5">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2023年补贴企业资金成本，</w:t>
      </w:r>
      <w:r>
        <w:rPr>
          <w:rFonts w:hint="default" w:ascii="Times New Roman" w:hAnsi="Times New Roman" w:eastAsia="仿宋_GB2312" w:cs="Times New Roman"/>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=75万元/家</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=75万元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2BE90355">
      <w:pPr>
        <w:pStyle w:val="10"/>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4E20487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4505F0D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4A09DB8E">
      <w:pPr>
        <w:shd w:val="clear" w:color="auto"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经济效益指标：</w:t>
      </w:r>
      <w:r>
        <w:rPr>
          <w:rFonts w:hint="eastAsia" w:eastAsia="仿宋_GB2312" w:cs="Times New Roman"/>
          <w:color w:val="auto"/>
          <w:sz w:val="32"/>
          <w:szCs w:val="32"/>
          <w:highlight w:val="none"/>
          <w:lang w:val="en-US" w:eastAsia="zh-CN"/>
        </w:rPr>
        <w:t>企业主营业务收入，</w:t>
      </w:r>
      <w:r>
        <w:rPr>
          <w:rFonts w:hint="default" w:ascii="Times New Roman" w:hAnsi="Times New Roman" w:eastAsia="仿宋_GB2312" w:cs="Times New Roman"/>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=2000万元</w:t>
      </w:r>
      <w:r>
        <w:rPr>
          <w:rFonts w:hint="default" w:ascii="Times New Roman" w:hAnsi="Times New Roman" w:eastAsia="仿宋_GB2312" w:cs="Times New Roman"/>
          <w:color w:val="auto"/>
          <w:sz w:val="32"/>
          <w:szCs w:val="32"/>
          <w:highlight w:val="none"/>
        </w:rPr>
        <w:t>，实际完成值</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=2000万元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29B6C2D2">
      <w:pPr>
        <w:shd w:val="clear" w:color="auto"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②</w:t>
      </w:r>
      <w:r>
        <w:rPr>
          <w:rFonts w:hint="default" w:ascii="Times New Roman" w:hAnsi="Times New Roman" w:eastAsia="仿宋_GB2312" w:cs="Times New Roman"/>
          <w:color w:val="auto"/>
          <w:sz w:val="32"/>
          <w:szCs w:val="32"/>
          <w:highlight w:val="none"/>
        </w:rPr>
        <w:t>社会效益指标：</w:t>
      </w:r>
      <w:r>
        <w:rPr>
          <w:rFonts w:hint="eastAsia" w:eastAsia="仿宋_GB2312" w:cs="Times New Roman"/>
          <w:color w:val="auto"/>
          <w:sz w:val="32"/>
          <w:szCs w:val="32"/>
          <w:highlight w:val="none"/>
          <w:lang w:val="en-US" w:eastAsia="zh-CN"/>
        </w:rPr>
        <w:t>带动就业人数，指标值：</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=60人，实际完成值：</w:t>
      </w:r>
      <w:r>
        <w:rPr>
          <w:rFonts w:hint="eastAsia" w:ascii="Times New Roman" w:hAnsi="Times New Roman" w:eastAsia="仿宋_GB2312" w:cs="Times New Roman"/>
          <w:color w:val="auto"/>
          <w:sz w:val="32"/>
          <w:szCs w:val="32"/>
          <w:highlight w:val="none"/>
          <w:lang w:val="en-US" w:eastAsia="zh-CN"/>
        </w:rPr>
        <w:t>=60万元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6A1D700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项目支持企业满意度，</w:t>
      </w:r>
      <w:r>
        <w:rPr>
          <w:rFonts w:hint="default" w:ascii="Times New Roman" w:hAnsi="Times New Roman" w:eastAsia="仿宋_GB2312" w:cs="Times New Roman"/>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，实际完成值</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3641504C">
      <w:pPr>
        <w:spacing w:line="560" w:lineRule="exact"/>
        <w:ind w:firstLine="643" w:firstLineChars="200"/>
        <w:rPr>
          <w:rFonts w:hint="default" w:ascii="Times New Roman" w:hAnsi="Times New Roman" w:eastAsia="楷体_GB2312" w:cs="Times New Roman"/>
          <w:b/>
          <w:bCs/>
          <w:color w:val="auto"/>
          <w:sz w:val="32"/>
          <w:szCs w:val="32"/>
          <w:highlight w:val="none"/>
          <w:lang w:val="en-U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rPr>
        <w:t>预算执行进度与绩效指标总体完成率偏差</w:t>
      </w:r>
    </w:p>
    <w:p w14:paraId="5D203AA3">
      <w:pPr>
        <w:pStyle w:val="2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小升规企业奖励资金项目年初预算</w:t>
      </w:r>
      <w:r>
        <w:rPr>
          <w:rFonts w:hint="eastAsia" w:ascii="Times New Roman" w:hAnsi="Times New Roman" w:eastAsia="仿宋_GB2312" w:cs="Times New Roman"/>
          <w:color w:val="auto"/>
          <w:kern w:val="2"/>
          <w:sz w:val="32"/>
          <w:szCs w:val="32"/>
          <w:highlight w:val="none"/>
          <w:lang w:val="en-US" w:eastAsia="zh-CN" w:bidi="ar-SA"/>
        </w:rPr>
        <w:t>60</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eastAsia" w:ascii="Times New Roman" w:hAnsi="Times New Roman" w:eastAsia="仿宋_GB2312" w:cs="Times New Roman"/>
          <w:color w:val="auto"/>
          <w:kern w:val="2"/>
          <w:sz w:val="32"/>
          <w:szCs w:val="32"/>
          <w:highlight w:val="none"/>
          <w:lang w:val="en-US" w:eastAsia="zh-CN" w:bidi="ar-SA"/>
        </w:rPr>
        <w:t>135</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eastAsia" w:ascii="Times New Roman" w:hAnsi="Times New Roman" w:eastAsia="仿宋_GB2312" w:cs="Times New Roman"/>
          <w:color w:val="auto"/>
          <w:kern w:val="2"/>
          <w:sz w:val="32"/>
          <w:szCs w:val="32"/>
          <w:highlight w:val="none"/>
          <w:lang w:val="en-US" w:eastAsia="zh-CN" w:bidi="ar-SA"/>
        </w:rPr>
        <w:t>135</w:t>
      </w:r>
      <w:r>
        <w:rPr>
          <w:rFonts w:hint="default" w:ascii="Times New Roman" w:hAnsi="Times New Roman" w:eastAsia="仿宋_GB2312" w:cs="Times New Roman"/>
          <w:color w:val="auto"/>
          <w:kern w:val="2"/>
          <w:sz w:val="32"/>
          <w:szCs w:val="32"/>
          <w:highlight w:val="none"/>
          <w:lang w:val="en-US" w:eastAsia="zh-CN" w:bidi="ar-SA"/>
        </w:rPr>
        <w:t>万元，预算执行率为</w:t>
      </w:r>
      <w:r>
        <w:rPr>
          <w:rFonts w:hint="eastAsia" w:ascii="Times New Roman" w:hAnsi="Times New Roman" w:eastAsia="仿宋_GB2312"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eastAsia" w:ascii="Times New Roman" w:hAnsi="Times New Roman" w:eastAsia="仿宋_GB2312"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bidi="ar-SA"/>
        </w:rPr>
        <w:t>总体</w:t>
      </w:r>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ascii="Times New Roman" w:hAnsi="Times New Roman" w:eastAsia="仿宋_GB2312"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w:t>
      </w:r>
    </w:p>
    <w:p w14:paraId="37C8BB96">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4EDF0616">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1FED127C">
      <w:pPr>
        <w:keepNext/>
        <w:keepLines/>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 强化政策激励引导：严格落实奖励政策，对符合条件的小升规企业给予资金奖励。如对托里县鑫宇商砼有限公司、中广核新能源托里有限公司等企业发放“小升规”奖励资金，激发企业升规积极性。</w:t>
      </w:r>
    </w:p>
    <w:p w14:paraId="76D44B70">
      <w:pPr>
        <w:keepNext/>
        <w:keepLines/>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建立动态培育机制：将具备潜力的企业纳入培育库，加强动态监测。协调解决企业生产经营难题，如托里凯峰建材原料采购受阻等问题，为企业升规创造条件。 </w:t>
      </w:r>
    </w:p>
    <w:p w14:paraId="589798A8">
      <w:pPr>
        <w:keepNext/>
        <w:keepLines/>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 加强部门协同服务：积极对接企业需求，联合多部门为企业提供要素保障、市场开拓等服务，助力企业提升生产能力与经营水平，推动企业尽早达到升规标准。</w:t>
      </w:r>
    </w:p>
    <w:p w14:paraId="7BC345A5">
      <w:pPr>
        <w:keepNext/>
        <w:keepLines/>
        <w:numPr>
          <w:ilvl w:val="0"/>
          <w:numId w:val="0"/>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eastAsia" w:eastAsia="楷体_GB2312" w:cs="Times New Roman"/>
          <w:b/>
          <w:bCs/>
          <w:color w:val="auto"/>
          <w:sz w:val="32"/>
          <w:szCs w:val="32"/>
          <w:highlight w:val="none"/>
          <w:lang w:eastAsia="zh-CN"/>
        </w:rPr>
        <w:t>（</w:t>
      </w:r>
      <w:r>
        <w:rPr>
          <w:rFonts w:hint="eastAsia" w:eastAsia="楷体_GB2312" w:cs="Times New Roman"/>
          <w:b/>
          <w:bCs/>
          <w:color w:val="auto"/>
          <w:sz w:val="32"/>
          <w:szCs w:val="32"/>
          <w:highlight w:val="none"/>
          <w:lang w:val="en-US" w:eastAsia="zh-CN"/>
        </w:rPr>
        <w:t>二</w:t>
      </w:r>
      <w:r>
        <w:rPr>
          <w:rFonts w:hint="eastAsia"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rPr>
        <w:t>存在的问题及原因分析</w:t>
      </w:r>
    </w:p>
    <w:p w14:paraId="1F0546F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 企业升规意愿不足</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部分企业对升规政策认识模糊，担忧升规后管理成本增加、税费负担加重（尽管实际税负未必增加），且对升规后的发展信心不足，缺乏主动参与的动力。</w:t>
      </w:r>
    </w:p>
    <w:p w14:paraId="5296DD70">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 培育工作精准度待提高</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对培育库企业的跟踪服务有时不够深入，未能完全精准对接企业个性化需求。例如，部分企业在融资、技术改造等方面的特殊问题解决效率不高，影响升规进度。</w:t>
      </w:r>
    </w:p>
    <w:p w14:paraId="5DB9554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 外部环境制约明显</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宏观经济波动下，企业面临市场需求萎缩、原材料价格波动等压力，生产经营稳定性受影响，达规难度加大。如市场需求不足导致企业营收增长缓慢，难以达到规模以上标准。</w:t>
      </w:r>
    </w:p>
    <w:p w14:paraId="6CF0AA75">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要素保障存在短板</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托里县地理位置或产业结构因素影响，企业在人才、资金等要素获取上存在困难。专业技术与管理人才短缺制约企业规范管理与创新发展；中小企业融资渠道有限，限制企业扩大生产规模、提升产能。</w:t>
      </w:r>
    </w:p>
    <w:p w14:paraId="78A1041B">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6337EDA6">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line="54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lang w:val="en-US" w:eastAsia="zh-CN"/>
        </w:rPr>
        <w:t>提前谋划，持续做好</w:t>
      </w:r>
      <w:r>
        <w:rPr>
          <w:rFonts w:hint="default" w:ascii="仿宋_GB2312" w:hAnsi="仿宋_GB2312" w:eastAsia="仿宋_GB2312" w:cs="仿宋_GB2312"/>
          <w:b w:val="0"/>
          <w:bCs w:val="0"/>
          <w:color w:val="auto"/>
          <w:sz w:val="32"/>
          <w:szCs w:val="32"/>
          <w:highlight w:val="none"/>
          <w:lang w:val="en-US" w:eastAsia="zh-CN"/>
        </w:rPr>
        <w:t>企业升规入统</w:t>
      </w:r>
      <w:r>
        <w:rPr>
          <w:rFonts w:hint="eastAsia" w:ascii="仿宋_GB2312" w:hAnsi="仿宋_GB2312" w:eastAsia="仿宋_GB2312" w:cs="仿宋_GB2312"/>
          <w:b w:val="0"/>
          <w:bCs w:val="0"/>
          <w:color w:val="auto"/>
          <w:sz w:val="32"/>
          <w:szCs w:val="32"/>
          <w:highlight w:val="none"/>
          <w:lang w:val="en-US" w:eastAsia="zh-CN"/>
        </w:rPr>
        <w:t>培育</w:t>
      </w:r>
      <w:r>
        <w:rPr>
          <w:rFonts w:hint="default" w:ascii="仿宋_GB2312" w:hAnsi="仿宋_GB2312" w:eastAsia="仿宋_GB2312" w:cs="仿宋_GB2312"/>
          <w:b w:val="0"/>
          <w:bCs w:val="0"/>
          <w:color w:val="auto"/>
          <w:sz w:val="32"/>
          <w:szCs w:val="32"/>
          <w:highlight w:val="none"/>
          <w:lang w:val="en-US" w:eastAsia="zh-CN"/>
        </w:rPr>
        <w:t>工作，</w:t>
      </w:r>
      <w:r>
        <w:rPr>
          <w:rFonts w:hint="default" w:ascii="Times New Roman" w:hAnsi="Times New Roman" w:eastAsia="仿宋_GB2312" w:cs="Times New Roman"/>
          <w:b w:val="0"/>
          <w:bCs w:val="0"/>
          <w:color w:val="auto"/>
          <w:sz w:val="32"/>
          <w:szCs w:val="32"/>
          <w:highlight w:val="none"/>
          <w:shd w:val="clear" w:color="auto" w:fill="auto"/>
          <w:lang w:val="en-US" w:eastAsia="zh-CN"/>
        </w:rPr>
        <w:t>进一步加强政策宣传解读，提升企业对升规的认知与信心</w:t>
      </w:r>
      <w:r>
        <w:rPr>
          <w:rFonts w:hint="eastAsia" w:ascii="Times New Roman" w:hAnsi="Times New Roman" w:eastAsia="仿宋_GB2312" w:cs="Times New Roman"/>
          <w:b w:val="0"/>
          <w:bCs w:val="0"/>
          <w:color w:val="auto"/>
          <w:sz w:val="32"/>
          <w:szCs w:val="32"/>
          <w:highlight w:val="none"/>
          <w:shd w:val="clear" w:color="auto" w:fill="auto"/>
          <w:lang w:val="en-US" w:eastAsia="zh-CN"/>
        </w:rPr>
        <w:t>，</w:t>
      </w:r>
      <w:r>
        <w:rPr>
          <w:rFonts w:hint="default" w:ascii="Times New Roman" w:hAnsi="Times New Roman" w:eastAsia="仿宋_GB2312" w:cs="Times New Roman"/>
          <w:b w:val="0"/>
          <w:bCs w:val="0"/>
          <w:color w:val="auto"/>
          <w:sz w:val="32"/>
          <w:szCs w:val="32"/>
          <w:highlight w:val="none"/>
          <w:shd w:val="clear" w:color="auto" w:fill="auto"/>
          <w:lang w:val="en-US" w:eastAsia="zh-CN"/>
        </w:rPr>
        <w:t>优化培育库动态管理，精准解决企业难题</w:t>
      </w:r>
      <w:r>
        <w:rPr>
          <w:rFonts w:hint="eastAsia" w:ascii="Times New Roman" w:hAnsi="Times New Roman" w:eastAsia="仿宋_GB2312" w:cs="Times New Roman"/>
          <w:b w:val="0"/>
          <w:bCs w:val="0"/>
          <w:color w:val="auto"/>
          <w:sz w:val="32"/>
          <w:szCs w:val="32"/>
          <w:highlight w:val="none"/>
          <w:shd w:val="clear" w:color="auto" w:fill="auto"/>
          <w:lang w:val="en-US" w:eastAsia="zh-CN"/>
        </w:rPr>
        <w:t>。</w:t>
      </w:r>
      <w:r>
        <w:rPr>
          <w:rFonts w:hint="default" w:ascii="Times New Roman" w:hAnsi="Times New Roman" w:eastAsia="仿宋_GB2312" w:cs="Times New Roman"/>
          <w:b w:val="0"/>
          <w:bCs w:val="0"/>
          <w:color w:val="auto"/>
          <w:sz w:val="32"/>
          <w:szCs w:val="32"/>
          <w:highlight w:val="none"/>
          <w:shd w:val="clear" w:color="auto" w:fill="auto"/>
          <w:lang w:val="en-US" w:eastAsia="zh-CN"/>
        </w:rPr>
        <w:t>强化要素保障，联合金融机构、人才服务机构等为企业提供支持，助力更多企业实现小升规，壮大县域工业经济实力。</w:t>
      </w:r>
    </w:p>
    <w:p w14:paraId="4BDECD4A">
      <w:pPr>
        <w:keepNext w:val="0"/>
        <w:keepLines w:val="0"/>
        <w:pageBreakBefore w:val="0"/>
        <w:widowControl w:val="0"/>
        <w:numPr>
          <w:ilvl w:val="0"/>
          <w:numId w:val="5"/>
        </w:numPr>
        <w:pBdr>
          <w:bottom w:val="single" w:color="FFFFFF" w:sz="4" w:space="31"/>
        </w:pBdr>
        <w:kinsoku/>
        <w:wordWrap/>
        <w:overflowPunct/>
        <w:topLinePunct w:val="0"/>
        <w:autoSpaceDE w:val="0"/>
        <w:autoSpaceDN/>
        <w:bidi w:val="0"/>
        <w:adjustRightInd w:val="0"/>
        <w:snapToGrid w:val="0"/>
        <w:spacing w:line="5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6CD42812">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本项目无其他需说明的问题。</w:t>
      </w:r>
    </w:p>
    <w:bookmarkEnd w:id="1"/>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23861E-928D-47CA-A9B2-6695D11A8C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5999C14-10B1-4A0D-8043-51667AF0A896}"/>
  </w:font>
  <w:font w:name="华文中宋">
    <w:panose1 w:val="02010600040101010101"/>
    <w:charset w:val="86"/>
    <w:family w:val="auto"/>
    <w:pitch w:val="default"/>
    <w:sig w:usb0="00000287" w:usb1="080F0000" w:usb2="00000000" w:usb3="00000000" w:csb0="0004009F" w:csb1="DFD70000"/>
    <w:embedRegular r:id="rId3" w:fontKey="{743F46B1-FF31-4091-B507-0FE9D43790BA}"/>
  </w:font>
  <w:font w:name="方正小标宋_GBK">
    <w:panose1 w:val="02000000000000000000"/>
    <w:charset w:val="86"/>
    <w:family w:val="script"/>
    <w:pitch w:val="default"/>
    <w:sig w:usb0="A00002BF" w:usb1="38CF7CFA" w:usb2="00082016" w:usb3="00000000" w:csb0="00040001" w:csb1="00000000"/>
    <w:embedRegular r:id="rId4" w:fontKey="{97DA74AF-EAB1-4479-AE73-BA1910AD099A}"/>
  </w:font>
  <w:font w:name="楷体_GB2312">
    <w:panose1 w:val="02010609030101010101"/>
    <w:charset w:val="86"/>
    <w:family w:val="auto"/>
    <w:pitch w:val="default"/>
    <w:sig w:usb0="00000001" w:usb1="080E0000" w:usb2="00000000" w:usb3="00000000" w:csb0="00040000" w:csb1="00000000"/>
    <w:embedRegular r:id="rId5" w:fontKey="{EC1394FE-8E04-4A26-BA0A-EC319432E813}"/>
  </w:font>
  <w:font w:name="方正仿宋_GBK">
    <w:panose1 w:val="02000000000000000000"/>
    <w:charset w:val="86"/>
    <w:family w:val="auto"/>
    <w:pitch w:val="default"/>
    <w:sig w:usb0="A00002BF" w:usb1="38CF7CFA" w:usb2="00082016" w:usb3="00000000" w:csb0="00040001" w:csb1="00000000"/>
    <w:embedRegular r:id="rId6" w:fontKey="{3A375E3C-A656-487B-B969-43F6023358B6}"/>
  </w:font>
  <w:font w:name="楷体">
    <w:panose1 w:val="02010609060101010101"/>
    <w:charset w:val="86"/>
    <w:family w:val="modern"/>
    <w:pitch w:val="default"/>
    <w:sig w:usb0="800002BF" w:usb1="38CF7CFA" w:usb2="00000016" w:usb3="00000000" w:csb0="00040001" w:csb1="00000000"/>
    <w:embedRegular r:id="rId7" w:fontKey="{D6AA6F13-F3B3-4823-B261-2873C3D79C34}"/>
  </w:font>
  <w:font w:name="WPSEMBED5">
    <w:panose1 w:val="02010609030101010101"/>
    <w:charset w:val="86"/>
    <w:family w:val="auto"/>
    <w:pitch w:val="default"/>
    <w:sig w:usb0="00000001" w:usb1="080E0000" w:usb2="00000000" w:usb3="00000000" w:csb0="00040000" w:csb1="00000000"/>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EC9DECD">
        <w:pPr>
          <w:pStyle w:val="7"/>
          <w:jc w:val="center"/>
        </w:pPr>
        <w:r>
          <w:fldChar w:fldCharType="begin"/>
        </w:r>
        <w:r>
          <w:instrText xml:space="preserve">PAGE   \* MERGEFORMAT</w:instrText>
        </w:r>
        <w:r>
          <w:fldChar w:fldCharType="separate"/>
        </w:r>
        <w:r>
          <w:rPr>
            <w:lang w:val="zh-CN"/>
          </w:rPr>
          <w:t>13</w:t>
        </w:r>
        <w:r>
          <w:fldChar w:fldCharType="end"/>
        </w:r>
      </w:p>
    </w:sdtContent>
  </w:sdt>
  <w:p w14:paraId="320DC69E">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03D62ECE"/>
    <w:multiLevelType w:val="singleLevel"/>
    <w:tmpl w:val="03D62ECE"/>
    <w:lvl w:ilvl="0" w:tentative="0">
      <w:start w:val="7"/>
      <w:numFmt w:val="chineseCounting"/>
      <w:lvlText w:val="%1."/>
      <w:lvlJc w:val="left"/>
      <w:pPr>
        <w:tabs>
          <w:tab w:val="left" w:pos="312"/>
        </w:tabs>
      </w:pPr>
      <w:rPr>
        <w:rFonts w:hint="eastAsia"/>
      </w:rPr>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48830B48"/>
    <w:rsid w:val="7B8978E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4"/>
    <w:qFormat/>
    <w:uiPriority w:val="0"/>
    <w:pPr>
      <w:spacing w:after="0"/>
      <w:ind w:firstLine="200" w:firstLineChars="200"/>
    </w:pPr>
  </w:style>
  <w:style w:type="paragraph" w:styleId="11">
    <w:name w:val="Body Text First Indent 2"/>
    <w:basedOn w:val="5"/>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6"/>
    <w:qFormat/>
    <w:uiPriority w:val="0"/>
    <w:rPr>
      <w:rFonts w:ascii="Times New Roman" w:hAnsi="Times New Roman" w:eastAsia="宋体" w:cs="Times New Roman"/>
      <w:kern w:val="2"/>
      <w:sz w:val="18"/>
      <w:szCs w:val="18"/>
    </w:rPr>
  </w:style>
  <w:style w:type="character" w:customStyle="1" w:styleId="22">
    <w:name w:val="页眉 字符"/>
    <w:basedOn w:val="14"/>
    <w:link w:val="2"/>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A075C2AEC1C54D1693797747003CB0A9_13</vt:lpwstr>
  </property>
  <property fmtid="{D5CDD505-2E9C-101B-9397-08002B2CF9AE}" pid="4" name="KSOTemplateDocerSaveRecord">
    <vt:lpwstr>eyJoZGlkIjoiZjFkMDk2M2M3MWUxMjQ2ZjM5M2U3YmQxNzJlMTMyZWEiLCJ1c2VySWQiOiIzMTg0NzM3NjEifQ==</vt:lpwstr>
  </property>
</Properties>
</file>

<file path=customXml/itemProps1.xml><?xml version="1.0" encoding="utf-8"?>
<ds:datastoreItem xmlns:ds="http://schemas.openxmlformats.org/officeDocument/2006/customXml" ds:itemID="{73a4949a-c825-476d-bad4-cc0d31a3db30}">
  <ds:schemaRefs/>
</ds:datastoreItem>
</file>

<file path=docProps/app.xml><?xml version="1.0" encoding="utf-8"?>
<Properties xmlns="http://schemas.openxmlformats.org/officeDocument/2006/extended-properties" xmlns:vt="http://schemas.openxmlformats.org/officeDocument/2006/docPropsVTypes">
  <Template>Normal</Template>
  <Pages>21</Pages>
  <Words>9617</Words>
  <Characters>9933</Characters>
  <Lines>58</Lines>
  <Paragraphs>16</Paragraphs>
  <TotalTime>3</TotalTime>
  <ScaleCrop>false</ScaleCrop>
  <LinksUpToDate>false</LinksUpToDate>
  <CharactersWithSpaces>9947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2025-10-31T10:40:27Z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eyJoZGlkIjoiZjZjY2YzNDY3YWM4YThjNjdkZTk2MDAwYjE2OGQzNDQiLCJ1c2VySWQiOiIzNzI2MDMzNTYifQ==</vt:lpwstr>
  </property>
</Properties>
</file>